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7D58" w14:textId="1E519E51" w:rsidR="008E5CFE" w:rsidRPr="00450C0B" w:rsidRDefault="00450C0B" w:rsidP="00C904D5">
      <w:pPr>
        <w:spacing w:line="240" w:lineRule="auto"/>
        <w:jc w:val="center"/>
        <w:rPr>
          <w:b/>
          <w:bCs/>
          <w:u w:val="single"/>
        </w:rPr>
      </w:pPr>
      <w:proofErr w:type="spellStart"/>
      <w:r w:rsidRPr="00450C0B">
        <w:rPr>
          <w:b/>
          <w:bCs/>
          <w:u w:val="single"/>
        </w:rPr>
        <w:t>SystmOne</w:t>
      </w:r>
      <w:proofErr w:type="spellEnd"/>
      <w:r w:rsidRPr="00450C0B">
        <w:rPr>
          <w:b/>
          <w:bCs/>
          <w:u w:val="single"/>
        </w:rPr>
        <w:t xml:space="preserve"> Allergy Documentation Guidance</w:t>
      </w:r>
    </w:p>
    <w:p w14:paraId="2B3017DF" w14:textId="77777777" w:rsidR="000E3D86" w:rsidRDefault="000E3D86" w:rsidP="00EB44DA">
      <w:pPr>
        <w:spacing w:line="240" w:lineRule="auto"/>
      </w:pPr>
    </w:p>
    <w:p w14:paraId="34F9CEED" w14:textId="7899466F" w:rsidR="007466C3" w:rsidRPr="000E3D86" w:rsidRDefault="007466C3" w:rsidP="00EB44DA">
      <w:pPr>
        <w:spacing w:line="240" w:lineRule="auto"/>
        <w:rPr>
          <w:i/>
          <w:iCs/>
        </w:rPr>
      </w:pPr>
      <w:r w:rsidRPr="000E3D86">
        <w:rPr>
          <w:i/>
          <w:iCs/>
        </w:rPr>
        <w:t>Introduction</w:t>
      </w:r>
    </w:p>
    <w:p w14:paraId="08EE0BBC" w14:textId="5F8A6DD4" w:rsidR="00F616CA" w:rsidRDefault="007466C3" w:rsidP="00EB44DA">
      <w:pPr>
        <w:spacing w:line="240" w:lineRule="auto"/>
      </w:pPr>
      <w:r>
        <w:t xml:space="preserve">If a patient receives </w:t>
      </w:r>
      <w:r w:rsidR="3209C426">
        <w:t xml:space="preserve">a </w:t>
      </w:r>
      <w:r>
        <w:t>medicine</w:t>
      </w:r>
      <w:r w:rsidR="001315BD">
        <w:t xml:space="preserve"> or other </w:t>
      </w:r>
      <w:r w:rsidR="00453BCF">
        <w:t>substance</w:t>
      </w:r>
      <w:r>
        <w:t xml:space="preserve"> to which they have an allergy or sensitivity</w:t>
      </w:r>
      <w:r w:rsidR="00453BCF">
        <w:t>,</w:t>
      </w:r>
      <w:r>
        <w:t xml:space="preserve"> it poses a </w:t>
      </w:r>
      <w:r w:rsidR="04DD80C3">
        <w:t xml:space="preserve">potential </w:t>
      </w:r>
      <w:r>
        <w:t xml:space="preserve">risk to their wellbeing. All </w:t>
      </w:r>
      <w:r w:rsidR="001A2D0B">
        <w:t>medications</w:t>
      </w:r>
      <w:r>
        <w:t xml:space="preserve"> have the potential to cause side effects, also known as 'adverse drug reactions', but not all of these are allergic in nature. Other reactions are idiosyncratic, pseudo-allergic or caused by drug intolerance.</w:t>
      </w:r>
      <w:r w:rsidR="00B81907">
        <w:t xml:space="preserve"> </w:t>
      </w:r>
      <w:r w:rsidR="00826D99">
        <w:t>Misidentifying a side effect as an allergy can lead to unnecessary avoidance of effective treatments.</w:t>
      </w:r>
      <w:r w:rsidR="00362DAD" w:rsidRPr="1D0416EE">
        <w:rPr>
          <w:color w:val="155F81"/>
        </w:rPr>
        <w:t xml:space="preserve"> </w:t>
      </w:r>
      <w:r w:rsidR="00362DAD">
        <w:t>Prescribers may adjust dosage or offer supportive treatment to relieve symptoms</w:t>
      </w:r>
      <w:r w:rsidR="00A67C16">
        <w:t>, for example</w:t>
      </w:r>
      <w:r w:rsidR="12625266">
        <w:t>,</w:t>
      </w:r>
      <w:r w:rsidR="00A67C16">
        <w:t xml:space="preserve"> </w:t>
      </w:r>
      <w:r w:rsidR="008E5009" w:rsidRPr="1D0416EE">
        <w:rPr>
          <w:rFonts w:eastAsia="Times New Roman"/>
          <w:color w:val="000000" w:themeColor="text1"/>
        </w:rPr>
        <w:t xml:space="preserve">adding an allergy for a patient who states that penicillin made them </w:t>
      </w:r>
      <w:r w:rsidR="00167E97" w:rsidRPr="1D0416EE">
        <w:rPr>
          <w:rFonts w:eastAsia="Times New Roman"/>
          <w:color w:val="000000" w:themeColor="text1"/>
        </w:rPr>
        <w:t>nauseous</w:t>
      </w:r>
      <w:r w:rsidR="008E5009" w:rsidRPr="1D0416EE">
        <w:rPr>
          <w:rFonts w:eastAsia="Times New Roman"/>
          <w:color w:val="000000" w:themeColor="text1"/>
        </w:rPr>
        <w:t xml:space="preserve"> could result in a whole class of crucial antibiotics being ignored in an emergency</w:t>
      </w:r>
      <w:r w:rsidR="00167E97" w:rsidRPr="1D0416EE">
        <w:rPr>
          <w:rFonts w:eastAsia="Times New Roman"/>
          <w:color w:val="000000" w:themeColor="text1"/>
        </w:rPr>
        <w:t>.</w:t>
      </w:r>
    </w:p>
    <w:p w14:paraId="300A58CD" w14:textId="77777777" w:rsidR="00E87B01" w:rsidRDefault="00E87B01" w:rsidP="00EB44DA">
      <w:pPr>
        <w:spacing w:line="240" w:lineRule="auto"/>
      </w:pPr>
    </w:p>
    <w:p w14:paraId="647E7BDD" w14:textId="2191F25C" w:rsidR="00F616CA" w:rsidRPr="00257955" w:rsidRDefault="00F616CA" w:rsidP="00EB44DA">
      <w:pPr>
        <w:spacing w:line="240" w:lineRule="auto"/>
        <w:rPr>
          <w:i/>
          <w:iCs/>
        </w:rPr>
      </w:pPr>
      <w:r w:rsidRPr="00257955">
        <w:rPr>
          <w:i/>
          <w:iCs/>
        </w:rPr>
        <w:t xml:space="preserve">Purpose of this </w:t>
      </w:r>
      <w:r w:rsidR="00E31EF7" w:rsidRPr="00257955">
        <w:rPr>
          <w:i/>
          <w:iCs/>
        </w:rPr>
        <w:t>Guidance</w:t>
      </w:r>
    </w:p>
    <w:p w14:paraId="157C939D" w14:textId="77777777" w:rsidR="00FC5301" w:rsidRDefault="00FC5301" w:rsidP="00FC5301">
      <w:pPr>
        <w:pStyle w:val="ListParagraph"/>
        <w:numPr>
          <w:ilvl w:val="0"/>
          <w:numId w:val="9"/>
        </w:numPr>
        <w:spacing w:line="240" w:lineRule="auto"/>
      </w:pPr>
      <w:r>
        <w:t xml:space="preserve">To define who can ascertain allergy and medication sensitivity </w:t>
      </w:r>
    </w:p>
    <w:p w14:paraId="6737AE3F" w14:textId="77777777" w:rsidR="00FC5301" w:rsidRDefault="00FC5301" w:rsidP="00FC5301">
      <w:pPr>
        <w:pStyle w:val="ListParagraph"/>
        <w:spacing w:line="240" w:lineRule="auto"/>
      </w:pPr>
      <w:r>
        <w:t>information.</w:t>
      </w:r>
    </w:p>
    <w:p w14:paraId="5C47960F" w14:textId="21E0D5EE" w:rsidR="00F616CA" w:rsidRDefault="00F616CA" w:rsidP="00EA35F6">
      <w:pPr>
        <w:pStyle w:val="ListParagraph"/>
        <w:numPr>
          <w:ilvl w:val="0"/>
          <w:numId w:val="9"/>
        </w:numPr>
        <w:spacing w:line="240" w:lineRule="auto"/>
      </w:pPr>
      <w:r>
        <w:t>To ensure patient allergy and medication sensitivity status is known before any</w:t>
      </w:r>
      <w:r w:rsidR="004D6FC4">
        <w:t xml:space="preserve"> treatment </w:t>
      </w:r>
      <w:r w:rsidR="00AB1E5A">
        <w:t xml:space="preserve">commenced </w:t>
      </w:r>
      <w:r w:rsidR="004D6FC4">
        <w:t xml:space="preserve">or </w:t>
      </w:r>
      <w:r>
        <w:t>medic</w:t>
      </w:r>
      <w:r w:rsidR="00A3505B">
        <w:t>ation is prescribe</w:t>
      </w:r>
      <w:r w:rsidR="00EA35F6">
        <w:t>d, dispensed or</w:t>
      </w:r>
      <w:r>
        <w:t xml:space="preserve"> administered to a patient.</w:t>
      </w:r>
    </w:p>
    <w:p w14:paraId="6A13ABD0" w14:textId="1E4771B3" w:rsidR="00F616CA" w:rsidRDefault="00F616CA" w:rsidP="00EB44DA">
      <w:pPr>
        <w:pStyle w:val="ListParagraph"/>
        <w:numPr>
          <w:ilvl w:val="0"/>
          <w:numId w:val="9"/>
        </w:numPr>
        <w:spacing w:line="240" w:lineRule="auto"/>
      </w:pPr>
      <w:r>
        <w:t>To de</w:t>
      </w:r>
      <w:r w:rsidR="000D775A">
        <w:t>monstrate</w:t>
      </w:r>
      <w:r>
        <w:t xml:space="preserve"> how the </w:t>
      </w:r>
      <w:r w:rsidR="000D775A">
        <w:t xml:space="preserve">patient’s allergy </w:t>
      </w:r>
      <w:r>
        <w:t>status should be documented</w:t>
      </w:r>
      <w:r w:rsidR="0069229B">
        <w:t xml:space="preserve"> in </w:t>
      </w:r>
      <w:proofErr w:type="spellStart"/>
      <w:r w:rsidR="0069229B">
        <w:t>SystmOne</w:t>
      </w:r>
      <w:proofErr w:type="spellEnd"/>
      <w:r>
        <w:t>.</w:t>
      </w:r>
    </w:p>
    <w:p w14:paraId="07E2CE52" w14:textId="77777777" w:rsidR="00707092" w:rsidRDefault="00707092" w:rsidP="00707092">
      <w:pPr>
        <w:pStyle w:val="ListParagraph"/>
        <w:spacing w:line="240" w:lineRule="auto"/>
      </w:pPr>
    </w:p>
    <w:p w14:paraId="55B64B99" w14:textId="77777777" w:rsidR="006357DB" w:rsidRPr="0027724A" w:rsidRDefault="006357DB" w:rsidP="00EB44DA">
      <w:pPr>
        <w:spacing w:line="240" w:lineRule="auto"/>
        <w:rPr>
          <w:i/>
          <w:iCs/>
        </w:rPr>
      </w:pPr>
      <w:r w:rsidRPr="0027724A">
        <w:rPr>
          <w:i/>
          <w:iCs/>
        </w:rPr>
        <w:t>Scope</w:t>
      </w:r>
    </w:p>
    <w:p w14:paraId="1D4C3D98" w14:textId="70265722" w:rsidR="00707055" w:rsidRDefault="006357DB" w:rsidP="00583627">
      <w:pPr>
        <w:spacing w:line="240" w:lineRule="auto"/>
      </w:pPr>
      <w:r>
        <w:t xml:space="preserve">All clinical staff who provide clinical care to patients should ascertain and record allergies and medication sensitivity in accordance with this </w:t>
      </w:r>
      <w:r w:rsidR="004A3433">
        <w:t>guidance</w:t>
      </w:r>
      <w:r>
        <w:t xml:space="preserve">. </w:t>
      </w:r>
    </w:p>
    <w:p w14:paraId="626CA4DB" w14:textId="77777777" w:rsidR="00583627" w:rsidRPr="00707055" w:rsidRDefault="00583627" w:rsidP="00583627">
      <w:pPr>
        <w:spacing w:line="240" w:lineRule="auto"/>
      </w:pPr>
    </w:p>
    <w:p w14:paraId="57DCDD61" w14:textId="7702C695" w:rsidR="6E92E296" w:rsidRDefault="6E92E296" w:rsidP="6E92E296">
      <w:pPr>
        <w:rPr>
          <w:i/>
          <w:iCs/>
        </w:rPr>
      </w:pPr>
    </w:p>
    <w:p w14:paraId="5383008A" w14:textId="16E60E37" w:rsidR="6E92E296" w:rsidRDefault="6E92E296" w:rsidP="6E92E296">
      <w:pPr>
        <w:rPr>
          <w:i/>
          <w:iCs/>
        </w:rPr>
      </w:pPr>
    </w:p>
    <w:p w14:paraId="33BC33FB" w14:textId="7D6483FA" w:rsidR="6E92E296" w:rsidRDefault="6E92E296" w:rsidP="6E92E296">
      <w:pPr>
        <w:rPr>
          <w:i/>
          <w:iCs/>
        </w:rPr>
      </w:pPr>
    </w:p>
    <w:p w14:paraId="5B723A90" w14:textId="1995BA5F" w:rsidR="6E92E296" w:rsidRDefault="6E92E296" w:rsidP="6E92E296">
      <w:pPr>
        <w:rPr>
          <w:i/>
          <w:iCs/>
        </w:rPr>
      </w:pPr>
    </w:p>
    <w:p w14:paraId="47A5811A" w14:textId="3125321C" w:rsidR="6E92E296" w:rsidRDefault="6E92E296" w:rsidP="6E92E296">
      <w:pPr>
        <w:rPr>
          <w:i/>
          <w:iCs/>
        </w:rPr>
      </w:pPr>
    </w:p>
    <w:p w14:paraId="2D462AF3" w14:textId="19725E84" w:rsidR="6E92E296" w:rsidRDefault="6E92E296" w:rsidP="6E92E296">
      <w:pPr>
        <w:rPr>
          <w:i/>
          <w:iCs/>
        </w:rPr>
      </w:pPr>
    </w:p>
    <w:p w14:paraId="0A53727A" w14:textId="7D8279CC" w:rsidR="6E92E296" w:rsidRDefault="6E92E296" w:rsidP="6E92E296">
      <w:pPr>
        <w:rPr>
          <w:i/>
          <w:iCs/>
        </w:rPr>
      </w:pPr>
    </w:p>
    <w:p w14:paraId="77B24095" w14:textId="45BA86B5" w:rsidR="6E92E296" w:rsidRDefault="6E92E296" w:rsidP="6E92E296">
      <w:pPr>
        <w:rPr>
          <w:i/>
          <w:iCs/>
        </w:rPr>
      </w:pPr>
    </w:p>
    <w:p w14:paraId="5963AE99" w14:textId="795C62B0" w:rsidR="6E92E296" w:rsidRDefault="6E92E296" w:rsidP="6E92E296">
      <w:pPr>
        <w:rPr>
          <w:i/>
          <w:iCs/>
        </w:rPr>
      </w:pPr>
    </w:p>
    <w:p w14:paraId="50E1F85F" w14:textId="77777777" w:rsidR="00575586" w:rsidRDefault="00575586" w:rsidP="00040658">
      <w:pPr>
        <w:rPr>
          <w:i/>
          <w:iCs/>
        </w:rPr>
      </w:pPr>
    </w:p>
    <w:p w14:paraId="6169C131" w14:textId="7A52ADC9" w:rsidR="006746B2" w:rsidRPr="00874C1D" w:rsidRDefault="00DA1517" w:rsidP="00040658">
      <w:pPr>
        <w:rPr>
          <w:i/>
          <w:iCs/>
        </w:rPr>
      </w:pPr>
      <w:r w:rsidRPr="00874C1D">
        <w:rPr>
          <w:i/>
          <w:iCs/>
        </w:rPr>
        <w:t>Responsibilities</w:t>
      </w:r>
    </w:p>
    <w:p w14:paraId="6FBB9E3E" w14:textId="77777777" w:rsidR="00DD560A" w:rsidRPr="00E31E04" w:rsidRDefault="00DD560A" w:rsidP="00DD560A">
      <w:r w:rsidRPr="00E31E04">
        <w:t>Who can ascertain and document allergy and medicine sensitivity status</w:t>
      </w:r>
      <w:r>
        <w:t>:</w:t>
      </w:r>
    </w:p>
    <w:p w14:paraId="0BB2A258" w14:textId="77777777" w:rsidR="00DD560A" w:rsidRPr="00E31E04" w:rsidRDefault="00DD560A" w:rsidP="00DD560A">
      <w:pPr>
        <w:pStyle w:val="ListParagraph"/>
        <w:numPr>
          <w:ilvl w:val="0"/>
          <w:numId w:val="12"/>
        </w:numPr>
      </w:pPr>
      <w:r w:rsidRPr="00E31E04">
        <w:t>Doctors</w:t>
      </w:r>
    </w:p>
    <w:p w14:paraId="5F0ABA25" w14:textId="77777777" w:rsidR="00DD560A" w:rsidRPr="00E31E04" w:rsidRDefault="00DD560A" w:rsidP="00DD560A">
      <w:pPr>
        <w:pStyle w:val="ListParagraph"/>
        <w:numPr>
          <w:ilvl w:val="0"/>
          <w:numId w:val="12"/>
        </w:numPr>
      </w:pPr>
      <w:r w:rsidRPr="00E31E04">
        <w:t>Nurses</w:t>
      </w:r>
    </w:p>
    <w:p w14:paraId="399415C7" w14:textId="77777777" w:rsidR="00DD560A" w:rsidRDefault="00DD560A" w:rsidP="00DD560A">
      <w:pPr>
        <w:pStyle w:val="ListParagraph"/>
        <w:numPr>
          <w:ilvl w:val="0"/>
          <w:numId w:val="12"/>
        </w:numPr>
      </w:pPr>
      <w:r w:rsidRPr="00E31E04">
        <w:t>Pharmacists</w:t>
      </w:r>
    </w:p>
    <w:p w14:paraId="01144232" w14:textId="77777777" w:rsidR="00DD560A" w:rsidRPr="00E31E04" w:rsidRDefault="00DD560A" w:rsidP="00DD560A">
      <w:pPr>
        <w:pStyle w:val="ListParagraph"/>
        <w:numPr>
          <w:ilvl w:val="0"/>
          <w:numId w:val="11"/>
        </w:numPr>
      </w:pPr>
      <w:r>
        <w:t>Registered Allied Health Professionals</w:t>
      </w:r>
    </w:p>
    <w:p w14:paraId="30D4617E" w14:textId="0AE61BEE" w:rsidR="767937E0" w:rsidRDefault="767937E0" w:rsidP="767937E0">
      <w:pPr>
        <w:pStyle w:val="ListParagraph"/>
      </w:pPr>
    </w:p>
    <w:p w14:paraId="1BA7E5DE" w14:textId="7180CC6D" w:rsidR="00FA249F" w:rsidRPr="00E31E04" w:rsidRDefault="00D82E1E" w:rsidP="00874C1D">
      <w:pPr>
        <w:spacing w:line="240" w:lineRule="auto"/>
        <w:rPr>
          <w:rFonts w:cs="Arial"/>
          <w:color w:val="212B32"/>
          <w:shd w:val="clear" w:color="auto" w:fill="F0F4F5"/>
        </w:rPr>
      </w:pPr>
      <w:r w:rsidRPr="00040658">
        <w:t>The prescriber retains the principal responsibility for ascertaining allergy status of any patient for whom they prescribe</w:t>
      </w:r>
      <w:r w:rsidR="00296E96">
        <w:t xml:space="preserve"> which usually </w:t>
      </w:r>
      <w:r w:rsidR="00A84645">
        <w:t>forms part of the consultation process</w:t>
      </w:r>
      <w:r>
        <w:t>.</w:t>
      </w:r>
      <w:r w:rsidRPr="00040658">
        <w:t xml:space="preserve"> However, it is the responsibility of every </w:t>
      </w:r>
      <w:r w:rsidR="00E4356B">
        <w:t>clinical staff member</w:t>
      </w:r>
      <w:r w:rsidRPr="00040658">
        <w:t xml:space="preserve"> involved in the medication process, prescribing, dispensing or administration, to take every practical step to establish the allergy status of the patient. The only exception to this is in </w:t>
      </w:r>
      <w:proofErr w:type="gramStart"/>
      <w:r w:rsidRPr="00040658">
        <w:t>an emergency situation</w:t>
      </w:r>
      <w:proofErr w:type="gramEnd"/>
      <w:r w:rsidRPr="00040658">
        <w:t xml:space="preserve"> where this information is unobtainable and the risk of not treating the patient outweighs the risk of having the information needed to make a fully informed decision. </w:t>
      </w:r>
    </w:p>
    <w:p w14:paraId="3BF1E6C6" w14:textId="3855C6D7" w:rsidR="767937E0" w:rsidRDefault="767937E0" w:rsidP="767937E0">
      <w:pPr>
        <w:spacing w:line="240" w:lineRule="auto"/>
      </w:pPr>
    </w:p>
    <w:p w14:paraId="6A14B422" w14:textId="3B300C57" w:rsidR="003204E7" w:rsidRDefault="00C76B51" w:rsidP="003204E7">
      <w:r>
        <w:t>Health Care Assistants should escalate</w:t>
      </w:r>
      <w:r w:rsidR="007A02ED">
        <w:t xml:space="preserve"> </w:t>
      </w:r>
      <w:r w:rsidR="00BF6A8A">
        <w:t xml:space="preserve">all </w:t>
      </w:r>
      <w:r w:rsidR="007A02ED">
        <w:t>non</w:t>
      </w:r>
      <w:r w:rsidR="00BF6A8A">
        <w:t>-</w:t>
      </w:r>
      <w:r w:rsidR="007A02ED">
        <w:t>documented</w:t>
      </w:r>
      <w:r>
        <w:t xml:space="preserve"> allergy or sensitivity </w:t>
      </w:r>
      <w:r w:rsidR="001C1D10">
        <w:t xml:space="preserve">information </w:t>
      </w:r>
      <w:r>
        <w:t xml:space="preserve">upon </w:t>
      </w:r>
      <w:r w:rsidR="00874521">
        <w:t xml:space="preserve">the </w:t>
      </w:r>
      <w:r>
        <w:t>patient</w:t>
      </w:r>
      <w:r w:rsidR="00ED2A9F">
        <w:t>/carer</w:t>
      </w:r>
      <w:r w:rsidR="00310752">
        <w:t>/guardian</w:t>
      </w:r>
      <w:r>
        <w:t xml:space="preserve"> reporting</w:t>
      </w:r>
      <w:r w:rsidR="00C5258C">
        <w:t xml:space="preserve"> it</w:t>
      </w:r>
      <w:r w:rsidR="007A02ED">
        <w:t>,</w:t>
      </w:r>
      <w:r>
        <w:t xml:space="preserve"> to </w:t>
      </w:r>
      <w:r w:rsidR="00ED2A9F">
        <w:t>their clinical lead as soon as possible</w:t>
      </w:r>
      <w:r w:rsidR="007A02ED">
        <w:t xml:space="preserve"> before any treatment</w:t>
      </w:r>
      <w:r w:rsidR="00BF6A8A">
        <w:t xml:space="preserve"> is performed</w:t>
      </w:r>
      <w:r w:rsidR="00ED2A9F">
        <w:t>.</w:t>
      </w:r>
    </w:p>
    <w:p w14:paraId="3CDA2B44" w14:textId="77777777" w:rsidR="000932D3" w:rsidRPr="00E31E04" w:rsidRDefault="000932D3" w:rsidP="003204E7"/>
    <w:p w14:paraId="25F803AC" w14:textId="445A39CC" w:rsidR="00685A86" w:rsidRDefault="00216931" w:rsidP="00685A86">
      <w:pPr>
        <w:rPr>
          <w:i/>
          <w:iCs/>
        </w:rPr>
      </w:pPr>
      <w:r w:rsidRPr="00216931">
        <w:rPr>
          <w:i/>
          <w:iCs/>
        </w:rPr>
        <w:t xml:space="preserve">Electronic Documentation of Allergy/Sensitivity in </w:t>
      </w:r>
      <w:proofErr w:type="spellStart"/>
      <w:r w:rsidRPr="00216931">
        <w:rPr>
          <w:i/>
          <w:iCs/>
        </w:rPr>
        <w:t>SystmOne</w:t>
      </w:r>
      <w:proofErr w:type="spellEnd"/>
    </w:p>
    <w:p w14:paraId="083416EE" w14:textId="43E6DBB8" w:rsidR="00707055" w:rsidRPr="00991EE8" w:rsidRDefault="000123E8" w:rsidP="00685A86">
      <w:r>
        <w:t xml:space="preserve">An </w:t>
      </w:r>
      <w:r w:rsidR="00583627">
        <w:t>allergy</w:t>
      </w:r>
      <w:r w:rsidR="00872240">
        <w:t xml:space="preserve"> </w:t>
      </w:r>
      <w:r w:rsidR="006602E5">
        <w:t xml:space="preserve">status should be </w:t>
      </w:r>
      <w:r>
        <w:t>re</w:t>
      </w:r>
      <w:r w:rsidR="65E5D5D1">
        <w:t>viewed and update</w:t>
      </w:r>
      <w:r>
        <w:t xml:space="preserve">d at each episode of care </w:t>
      </w:r>
      <w:r w:rsidR="009B16D1">
        <w:t xml:space="preserve">as </w:t>
      </w:r>
      <w:r w:rsidR="00500F6B">
        <w:t xml:space="preserve">this may change over time </w:t>
      </w:r>
      <w:r>
        <w:t xml:space="preserve">and </w:t>
      </w:r>
      <w:r w:rsidR="006602E5">
        <w:t xml:space="preserve">confirmed </w:t>
      </w:r>
      <w:r w:rsidR="0052070F">
        <w:t xml:space="preserve">from </w:t>
      </w:r>
      <w:r w:rsidR="000E587B">
        <w:t>a</w:t>
      </w:r>
      <w:r w:rsidR="0052070F">
        <w:t xml:space="preserve"> combination of </w:t>
      </w:r>
      <w:r w:rsidR="006602E5">
        <w:t>the patient</w:t>
      </w:r>
      <w:r w:rsidR="000E587B">
        <w:t>, medical records</w:t>
      </w:r>
      <w:r>
        <w:t xml:space="preserve"> and where appropriate, the patient’s carer and/or guardian</w:t>
      </w:r>
      <w:r w:rsidR="3A16B7D0">
        <w:t>.</w:t>
      </w:r>
    </w:p>
    <w:p w14:paraId="5AA5F6BA" w14:textId="25369000" w:rsidR="00707055" w:rsidRPr="00991EE8" w:rsidRDefault="00707055" w:rsidP="00685A86"/>
    <w:p w14:paraId="22736C89" w14:textId="4C73782E" w:rsidR="00707055" w:rsidRPr="00991EE8" w:rsidRDefault="5536FDC0" w:rsidP="00685A86">
      <w:r>
        <w:t>P</w:t>
      </w:r>
      <w:r w:rsidR="3A16B7D0">
        <w:t>lease</w:t>
      </w:r>
      <w:r w:rsidR="00DF59EF">
        <w:t xml:space="preserve"> </w:t>
      </w:r>
      <w:r>
        <w:t>choose one of the below</w:t>
      </w:r>
      <w:r w:rsidR="40970060">
        <w:t xml:space="preserve"> as seen in the template</w:t>
      </w:r>
      <w:r>
        <w:t xml:space="preserve">: </w:t>
      </w:r>
    </w:p>
    <w:p w14:paraId="630C9468" w14:textId="19BB6CA7" w:rsidR="002F3BB8" w:rsidRPr="00040658" w:rsidRDefault="002F3BB8" w:rsidP="002F3BB8">
      <w:r w:rsidRPr="00040658">
        <w:t xml:space="preserve">No Known </w:t>
      </w:r>
      <w:r>
        <w:t xml:space="preserve">Allergies </w:t>
      </w:r>
    </w:p>
    <w:p w14:paraId="56C50B82" w14:textId="4D19851D" w:rsidR="00685A86" w:rsidRDefault="00685A86" w:rsidP="00685A86">
      <w:r w:rsidRPr="00040658">
        <w:t>Drug sensitivity</w:t>
      </w:r>
      <w:r w:rsidR="009E07D8">
        <w:t xml:space="preserve"> </w:t>
      </w:r>
    </w:p>
    <w:p w14:paraId="0209EAFF" w14:textId="7EEB4EAC" w:rsidR="002F3BB8" w:rsidRPr="00040658" w:rsidRDefault="002F3BB8" w:rsidP="00685A86">
      <w:r>
        <w:t>Other Allergy</w:t>
      </w:r>
    </w:p>
    <w:p w14:paraId="4970891E" w14:textId="3C0046BD" w:rsidR="00FE16DE" w:rsidRPr="00040658" w:rsidRDefault="1CDDF82E" w:rsidP="00685A86">
      <w:r>
        <w:rPr>
          <w:noProof/>
        </w:rPr>
        <w:lastRenderedPageBreak/>
        <w:drawing>
          <wp:inline distT="0" distB="0" distL="0" distR="0" wp14:anchorId="64000B08" wp14:editId="2BCC9DCB">
            <wp:extent cx="4973640" cy="2699976"/>
            <wp:effectExtent l="0" t="0" r="0" b="0"/>
            <wp:docPr id="42498614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640" cy="26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AEDA9" w14:textId="30346657" w:rsidR="27A6F830" w:rsidRDefault="27A6F830"/>
    <w:p w14:paraId="58282C94" w14:textId="799A9931" w:rsidR="00FE16DE" w:rsidRPr="00040658" w:rsidRDefault="4D498228" w:rsidP="00685A86">
      <w:r>
        <w:t xml:space="preserve">If drug sensitivity or other allergy is selected, </w:t>
      </w:r>
      <w:r w:rsidR="4DFD549D">
        <w:t xml:space="preserve">in the pop up, </w:t>
      </w:r>
      <w:r>
        <w:t xml:space="preserve">enter the drug/other </w:t>
      </w:r>
      <w:r w:rsidR="7108C067">
        <w:t xml:space="preserve">allergy </w:t>
      </w:r>
      <w:r>
        <w:t xml:space="preserve">name into the search </w:t>
      </w:r>
      <w:r w:rsidR="1CC9CAA5">
        <w:t xml:space="preserve">box and click the </w:t>
      </w:r>
      <w:r w:rsidR="2D6D761E">
        <w:t>appropriate generic title.</w:t>
      </w:r>
      <w:r w:rsidR="5F5EF0AB">
        <w:t xml:space="preserve"> Click OK.</w:t>
      </w:r>
    </w:p>
    <w:p w14:paraId="0587A1B3" w14:textId="14431983" w:rsidR="00FE16DE" w:rsidRPr="00040658" w:rsidRDefault="5F5AC68A" w:rsidP="00685A86">
      <w:r>
        <w:rPr>
          <w:noProof/>
        </w:rPr>
        <w:drawing>
          <wp:inline distT="0" distB="0" distL="0" distR="0" wp14:anchorId="7F493F6E" wp14:editId="0D5F6261">
            <wp:extent cx="3982637" cy="2200059"/>
            <wp:effectExtent l="0" t="0" r="0" b="0"/>
            <wp:docPr id="9336645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6453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637" cy="220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7B651" w14:textId="73772ABD" w:rsidR="00FE16DE" w:rsidRPr="00040658" w:rsidRDefault="00FE16DE" w:rsidP="00685A86"/>
    <w:p w14:paraId="71378DBC" w14:textId="6DEDC9B8" w:rsidR="00FE16DE" w:rsidRPr="00040658" w:rsidRDefault="00FE16DE" w:rsidP="00685A86">
      <w:r>
        <w:t>In the comments section</w:t>
      </w:r>
      <w:r w:rsidR="00B8775B">
        <w:t xml:space="preserve"> of the template, please record the following: </w:t>
      </w:r>
    </w:p>
    <w:p w14:paraId="636AC1A9" w14:textId="05D079A5" w:rsidR="00685A86" w:rsidRPr="00040658" w:rsidRDefault="00685A86" w:rsidP="00685A86">
      <w:r w:rsidRPr="00040658">
        <w:t>Drug name</w:t>
      </w:r>
      <w:r w:rsidR="008B6733">
        <w:t xml:space="preserve"> - </w:t>
      </w:r>
      <w:r w:rsidRPr="00040658">
        <w:t>generic</w:t>
      </w:r>
      <w:r w:rsidR="00200151">
        <w:t xml:space="preserve">, </w:t>
      </w:r>
      <w:r w:rsidRPr="00040658">
        <w:t>brand</w:t>
      </w:r>
      <w:r w:rsidR="00200151">
        <w:t>, strength, route and formation</w:t>
      </w:r>
      <w:r w:rsidRPr="00040658">
        <w:t xml:space="preserve"> if known</w:t>
      </w:r>
    </w:p>
    <w:p w14:paraId="02E50843" w14:textId="2C277591" w:rsidR="00A37F0B" w:rsidRDefault="00685A86" w:rsidP="00685A86">
      <w:r>
        <w:t>Signs, symptoms, and severity.</w:t>
      </w:r>
    </w:p>
    <w:p w14:paraId="464997A4" w14:textId="4A574E83" w:rsidR="27A6F830" w:rsidRDefault="27A6F830"/>
    <w:p w14:paraId="57F17800" w14:textId="00B3DD0A" w:rsidR="767937E0" w:rsidRDefault="767937E0"/>
    <w:p w14:paraId="68A70E68" w14:textId="624A8A1D" w:rsidR="767937E0" w:rsidRDefault="767937E0"/>
    <w:p w14:paraId="7A5FD1D2" w14:textId="5A8643E2" w:rsidR="767937E0" w:rsidRDefault="767937E0"/>
    <w:p w14:paraId="57993A47" w14:textId="77777777" w:rsidR="00575586" w:rsidRDefault="00575586" w:rsidP="00685A86"/>
    <w:p w14:paraId="1FDCE32D" w14:textId="77777777" w:rsidR="00575586" w:rsidRDefault="00575586" w:rsidP="00685A86"/>
    <w:p w14:paraId="042C8C3A" w14:textId="2C5DA703" w:rsidR="00685A86" w:rsidRDefault="00A37F0B" w:rsidP="00685A86">
      <w:r>
        <w:t>In the date field, please document</w:t>
      </w:r>
      <w:r w:rsidR="00685A86" w:rsidRPr="00040658">
        <w:t xml:space="preserve"> when it occurred</w:t>
      </w:r>
      <w:r>
        <w:t xml:space="preserve"> if known.</w:t>
      </w:r>
    </w:p>
    <w:p w14:paraId="0FBC38F6" w14:textId="43631978" w:rsidR="008D2C76" w:rsidRDefault="008D2C76" w:rsidP="515E06E2">
      <w:pPr>
        <w:spacing w:after="0" w:line="240" w:lineRule="auto"/>
      </w:pPr>
    </w:p>
    <w:p w14:paraId="08F5F8E5" w14:textId="503A3A4B" w:rsidR="008D2C76" w:rsidRDefault="4E470A96" w:rsidP="515E06E2">
      <w:pPr>
        <w:spacing w:after="0" w:line="240" w:lineRule="auto"/>
      </w:pPr>
      <w:r>
        <w:t>Example below:</w:t>
      </w:r>
    </w:p>
    <w:p w14:paraId="7DE05348" w14:textId="0B1DC64A" w:rsidR="008D2C76" w:rsidRDefault="24055E72" w:rsidP="515E06E2">
      <w:pPr>
        <w:spacing w:after="0" w:line="240" w:lineRule="auto"/>
      </w:pPr>
      <w:r>
        <w:rPr>
          <w:noProof/>
        </w:rPr>
        <w:drawing>
          <wp:inline distT="0" distB="0" distL="0" distR="0" wp14:anchorId="47071BAA" wp14:editId="238EA35D">
            <wp:extent cx="5296359" cy="2827265"/>
            <wp:effectExtent l="0" t="0" r="0" b="0"/>
            <wp:docPr id="13350927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9276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359" cy="28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C6F0F" w14:textId="77777777" w:rsidR="00511511" w:rsidRDefault="00511511" w:rsidP="515E06E2">
      <w:pPr>
        <w:spacing w:after="0" w:line="240" w:lineRule="auto"/>
      </w:pPr>
    </w:p>
    <w:p w14:paraId="1703B9EE" w14:textId="7702EA07" w:rsidR="24D93F07" w:rsidRDefault="24D93F07" w:rsidP="24D93F07">
      <w:pPr>
        <w:rPr>
          <w:i/>
          <w:iCs/>
        </w:rPr>
      </w:pPr>
    </w:p>
    <w:p w14:paraId="4B3A3D57" w14:textId="017ECE15" w:rsidR="00707055" w:rsidRPr="00412038" w:rsidRDefault="00412038" w:rsidP="00B611BE">
      <w:pPr>
        <w:rPr>
          <w:i/>
          <w:iCs/>
        </w:rPr>
      </w:pPr>
      <w:r>
        <w:rPr>
          <w:i/>
          <w:iCs/>
        </w:rPr>
        <w:t>Allergy Status inacc</w:t>
      </w:r>
      <w:r w:rsidR="00C936CB">
        <w:rPr>
          <w:i/>
          <w:iCs/>
        </w:rPr>
        <w:t>urate</w:t>
      </w:r>
    </w:p>
    <w:p w14:paraId="684CC5CB" w14:textId="2779F7C2" w:rsidR="00943495" w:rsidRDefault="00B611BE">
      <w:r>
        <w:t>Where recorded allergies are thought to be inaccurate</w:t>
      </w:r>
      <w:r w:rsidR="00C936CB">
        <w:t xml:space="preserve">, </w:t>
      </w:r>
      <w:r w:rsidR="0070260A">
        <w:t xml:space="preserve">any Nurse, Midwife or Allied Health Professional </w:t>
      </w:r>
      <w:r w:rsidR="002A5E61">
        <w:t xml:space="preserve">must discuss this with the patient’s Consultant or </w:t>
      </w:r>
      <w:proofErr w:type="gramStart"/>
      <w:r w:rsidR="002A5E61">
        <w:t>GP</w:t>
      </w:r>
      <w:proofErr w:type="gramEnd"/>
      <w:r w:rsidR="009D251D">
        <w:t xml:space="preserve"> and </w:t>
      </w:r>
      <w:r w:rsidR="00E825D9">
        <w:t xml:space="preserve">the </w:t>
      </w:r>
      <w:r w:rsidR="009D251D">
        <w:t xml:space="preserve">decision fully documented with </w:t>
      </w:r>
      <w:r w:rsidR="00E825D9">
        <w:t>n</w:t>
      </w:r>
      <w:r w:rsidR="009D251D">
        <w:t>ame of Consultant</w:t>
      </w:r>
      <w:r w:rsidR="00E825D9">
        <w:t>/GP</w:t>
      </w:r>
      <w:r w:rsidR="009D251D">
        <w:t xml:space="preserve">, date and time of </w:t>
      </w:r>
      <w:r w:rsidR="00E825D9">
        <w:t>discussion.</w:t>
      </w:r>
    </w:p>
    <w:p w14:paraId="5FB6F052" w14:textId="56E1D99A" w:rsidR="00B611BE" w:rsidRDefault="000D3F37">
      <w:r>
        <w:t xml:space="preserve">To remove the allergy, </w:t>
      </w:r>
      <w:r w:rsidR="0B4FBE6F">
        <w:t>it should be</w:t>
      </w:r>
      <w:r w:rsidR="00B611BE">
        <w:t xml:space="preserve"> mark</w:t>
      </w:r>
      <w:r w:rsidR="661293FC">
        <w:t>ed</w:t>
      </w:r>
      <w:r w:rsidR="00B611BE">
        <w:t xml:space="preserve"> in error</w:t>
      </w:r>
      <w:r w:rsidR="06CC82BF">
        <w:t xml:space="preserve"> by going through</w:t>
      </w:r>
      <w:r w:rsidR="7D67831D">
        <w:t xml:space="preserve"> to Sensitivities and Allergies in the clinical tree. Select the incorrect allergy</w:t>
      </w:r>
      <w:r w:rsidR="0D740377">
        <w:t xml:space="preserve"> and right click.  </w:t>
      </w:r>
      <w:r w:rsidR="2750684E">
        <w:t xml:space="preserve">If you documented the incorrect allergy, </w:t>
      </w:r>
      <w:r w:rsidR="08E1FAB0">
        <w:t xml:space="preserve">click on mark in error and </w:t>
      </w:r>
      <w:r w:rsidR="2750684E">
        <w:t xml:space="preserve">it will remove it immediately. If another user/service documented it, </w:t>
      </w:r>
      <w:r w:rsidR="05A1587F">
        <w:t>on right clicking</w:t>
      </w:r>
      <w:r w:rsidR="26056AA5">
        <w:t>,</w:t>
      </w:r>
      <w:r w:rsidR="05A1587F">
        <w:t xml:space="preserve"> request mark in error and a task will be sent to the original documenter. </w:t>
      </w:r>
    </w:p>
    <w:p w14:paraId="1669E5D1" w14:textId="457A2DD9" w:rsidR="27A6F830" w:rsidRDefault="27A6F830"/>
    <w:p w14:paraId="707E2FFA" w14:textId="3D38BCDF" w:rsidR="767937E0" w:rsidRDefault="767937E0"/>
    <w:p w14:paraId="5E36E4BB" w14:textId="3842F70B" w:rsidR="767937E0" w:rsidRDefault="767937E0"/>
    <w:p w14:paraId="798CD63E" w14:textId="113C0C02" w:rsidR="767937E0" w:rsidRDefault="767937E0"/>
    <w:p w14:paraId="7659BA5E" w14:textId="0860E3D2" w:rsidR="767937E0" w:rsidRDefault="767937E0"/>
    <w:p w14:paraId="3039B96B" w14:textId="32414DE9" w:rsidR="767937E0" w:rsidRDefault="767937E0"/>
    <w:p w14:paraId="0F1B2BC8" w14:textId="25C386EA" w:rsidR="767937E0" w:rsidRDefault="767937E0"/>
    <w:p w14:paraId="305B452E" w14:textId="41C6DC33" w:rsidR="5FFA6647" w:rsidRDefault="5FFA6647">
      <w:r>
        <w:lastRenderedPageBreak/>
        <w:t>Examples below:</w:t>
      </w:r>
    </w:p>
    <w:p w14:paraId="7F5BC170" w14:textId="2BBA1CBC" w:rsidR="21802C1E" w:rsidRDefault="00311A92">
      <w:r>
        <w:t xml:space="preserve">Mark </w:t>
      </w:r>
      <w:r w:rsidR="00A17FFB">
        <w:t>i</w:t>
      </w:r>
      <w:r>
        <w:t xml:space="preserve">n Error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CD1">
        <w:tab/>
      </w:r>
      <w:r w:rsidR="00AA2CD1">
        <w:tab/>
        <w:t xml:space="preserve">Request Mark </w:t>
      </w:r>
      <w:r w:rsidR="00A17FFB">
        <w:t>i</w:t>
      </w:r>
      <w:r w:rsidR="00AA2CD1">
        <w:t>n Error</w:t>
      </w:r>
    </w:p>
    <w:p w14:paraId="5C67E13A" w14:textId="667E7701" w:rsidR="00125FE4" w:rsidRDefault="006D5583" w:rsidP="00C54A88">
      <w:r w:rsidRPr="00C54A88">
        <w:rPr>
          <w:noProof/>
        </w:rPr>
        <w:drawing>
          <wp:anchor distT="0" distB="0" distL="114300" distR="114300" simplePos="0" relativeHeight="251658240" behindDoc="0" locked="0" layoutInCell="1" allowOverlap="1" wp14:anchorId="382DE8C1" wp14:editId="31B409DF">
            <wp:simplePos x="0" y="0"/>
            <wp:positionH relativeFrom="column">
              <wp:posOffset>4181475</wp:posOffset>
            </wp:positionH>
            <wp:positionV relativeFrom="paragraph">
              <wp:posOffset>342900</wp:posOffset>
            </wp:positionV>
            <wp:extent cx="2085975" cy="2308225"/>
            <wp:effectExtent l="0" t="0" r="9525" b="0"/>
            <wp:wrapThrough wrapText="bothSides">
              <wp:wrapPolygon edited="0">
                <wp:start x="0" y="0"/>
                <wp:lineTo x="0" y="21392"/>
                <wp:lineTo x="21501" y="21392"/>
                <wp:lineTo x="21501" y="0"/>
                <wp:lineTo x="0" y="0"/>
              </wp:wrapPolygon>
            </wp:wrapThrough>
            <wp:docPr id="6731407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40773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D6B">
        <w:rPr>
          <w:noProof/>
        </w:rPr>
        <w:drawing>
          <wp:anchor distT="0" distB="0" distL="114300" distR="114300" simplePos="0" relativeHeight="251658241" behindDoc="0" locked="0" layoutInCell="1" allowOverlap="1" wp14:anchorId="7B871CFF" wp14:editId="455A4C42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3874135" cy="2308225"/>
            <wp:effectExtent l="0" t="0" r="0" b="0"/>
            <wp:wrapThrough wrapText="bothSides">
              <wp:wrapPolygon edited="0">
                <wp:start x="0" y="0"/>
                <wp:lineTo x="0" y="21214"/>
                <wp:lineTo x="14232" y="21392"/>
                <wp:lineTo x="21455" y="21392"/>
                <wp:lineTo x="21455" y="0"/>
                <wp:lineTo x="0" y="0"/>
              </wp:wrapPolygon>
            </wp:wrapThrough>
            <wp:docPr id="5843159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15944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D1">
        <w:t xml:space="preserve"> </w:t>
      </w:r>
    </w:p>
    <w:p w14:paraId="12F35B34" w14:textId="5D64CA3B" w:rsidR="27A6F830" w:rsidRDefault="27A6F830" w:rsidP="27A6F830"/>
    <w:p w14:paraId="3442271B" w14:textId="5F3F2FD5" w:rsidR="00C54A88" w:rsidRDefault="009505D3">
      <w:r>
        <w:t>Record the reason for Marking in Erro</w:t>
      </w:r>
      <w:r w:rsidR="00A17FFB">
        <w:t>r</w:t>
      </w:r>
      <w:r w:rsidR="6931780D">
        <w:t xml:space="preserve"> pop up:</w:t>
      </w:r>
    </w:p>
    <w:p w14:paraId="2052BD98" w14:textId="0FC07F00" w:rsidR="00CA0AD1" w:rsidRDefault="00CA0AD1">
      <w:pPr>
        <w:rPr>
          <w:noProof/>
        </w:rPr>
      </w:pPr>
      <w:r w:rsidRPr="00AA2CD1">
        <w:rPr>
          <w:noProof/>
        </w:rPr>
        <w:drawing>
          <wp:anchor distT="0" distB="0" distL="114300" distR="114300" simplePos="0" relativeHeight="251658242" behindDoc="0" locked="0" layoutInCell="1" allowOverlap="1" wp14:anchorId="66D4D0A1" wp14:editId="0D54A215">
            <wp:simplePos x="0" y="0"/>
            <wp:positionH relativeFrom="column">
              <wp:posOffset>0</wp:posOffset>
            </wp:positionH>
            <wp:positionV relativeFrom="paragraph">
              <wp:posOffset>-48260</wp:posOffset>
            </wp:positionV>
            <wp:extent cx="3216910" cy="2337435"/>
            <wp:effectExtent l="0" t="0" r="2540" b="5715"/>
            <wp:wrapThrough wrapText="bothSides">
              <wp:wrapPolygon edited="0">
                <wp:start x="0" y="0"/>
                <wp:lineTo x="0" y="21477"/>
                <wp:lineTo x="21489" y="21477"/>
                <wp:lineTo x="21489" y="0"/>
                <wp:lineTo x="0" y="0"/>
              </wp:wrapPolygon>
            </wp:wrapThrough>
            <wp:docPr id="1683702935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02935" name="Picture 1" descr="A screenshot of a computer error messag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D9866" w14:textId="77777777" w:rsidR="00CA0AD1" w:rsidRDefault="00CA0AD1">
      <w:pPr>
        <w:rPr>
          <w:noProof/>
        </w:rPr>
      </w:pPr>
    </w:p>
    <w:p w14:paraId="3ABFD2BD" w14:textId="77777777" w:rsidR="00CA0AD1" w:rsidRDefault="00CA0AD1">
      <w:pPr>
        <w:rPr>
          <w:noProof/>
        </w:rPr>
      </w:pPr>
    </w:p>
    <w:p w14:paraId="01208B3D" w14:textId="77777777" w:rsidR="00CA0AD1" w:rsidRDefault="00CA0AD1">
      <w:pPr>
        <w:rPr>
          <w:noProof/>
        </w:rPr>
      </w:pPr>
    </w:p>
    <w:p w14:paraId="4D3EC77E" w14:textId="77777777" w:rsidR="00CA0AD1" w:rsidRDefault="00CA0AD1">
      <w:pPr>
        <w:rPr>
          <w:noProof/>
        </w:rPr>
      </w:pPr>
    </w:p>
    <w:p w14:paraId="242F605F" w14:textId="77777777" w:rsidR="00CA0AD1" w:rsidRDefault="00CA0AD1">
      <w:pPr>
        <w:rPr>
          <w:noProof/>
        </w:rPr>
      </w:pPr>
    </w:p>
    <w:p w14:paraId="7AB53E78" w14:textId="77777777" w:rsidR="00CA0AD1" w:rsidRDefault="00CA0AD1">
      <w:pPr>
        <w:rPr>
          <w:noProof/>
        </w:rPr>
      </w:pPr>
    </w:p>
    <w:p w14:paraId="69BF2E3C" w14:textId="2123EBB9" w:rsidR="767937E0" w:rsidRDefault="767937E0" w:rsidP="767937E0">
      <w:pPr>
        <w:rPr>
          <w:noProof/>
        </w:rPr>
      </w:pPr>
    </w:p>
    <w:p w14:paraId="4BBF5907" w14:textId="77777777" w:rsidR="00575586" w:rsidRDefault="00575586">
      <w:pPr>
        <w:rPr>
          <w:noProof/>
        </w:rPr>
      </w:pPr>
    </w:p>
    <w:p w14:paraId="243270CB" w14:textId="77777777" w:rsidR="00575586" w:rsidRDefault="00575586">
      <w:pPr>
        <w:rPr>
          <w:noProof/>
        </w:rPr>
      </w:pPr>
    </w:p>
    <w:p w14:paraId="1B0AB3B5" w14:textId="77777777" w:rsidR="00575586" w:rsidRDefault="00575586">
      <w:pPr>
        <w:rPr>
          <w:noProof/>
        </w:rPr>
      </w:pPr>
    </w:p>
    <w:p w14:paraId="106CDB1C" w14:textId="77777777" w:rsidR="00575586" w:rsidRDefault="00575586">
      <w:pPr>
        <w:rPr>
          <w:noProof/>
        </w:rPr>
      </w:pPr>
    </w:p>
    <w:p w14:paraId="1A5C96C1" w14:textId="77777777" w:rsidR="00575586" w:rsidRDefault="00575586">
      <w:pPr>
        <w:rPr>
          <w:noProof/>
        </w:rPr>
      </w:pPr>
    </w:p>
    <w:p w14:paraId="21EF51A1" w14:textId="77777777" w:rsidR="00575586" w:rsidRDefault="00575586">
      <w:pPr>
        <w:rPr>
          <w:noProof/>
        </w:rPr>
      </w:pPr>
    </w:p>
    <w:p w14:paraId="32AC08FD" w14:textId="77777777" w:rsidR="00575586" w:rsidRDefault="00575586">
      <w:pPr>
        <w:rPr>
          <w:noProof/>
        </w:rPr>
      </w:pPr>
    </w:p>
    <w:p w14:paraId="77EA7F0B" w14:textId="751B4827" w:rsidR="00CA0AD1" w:rsidRDefault="00CA0AD1">
      <w:pPr>
        <w:rPr>
          <w:noProof/>
        </w:rPr>
      </w:pPr>
      <w:r>
        <w:rPr>
          <w:noProof/>
        </w:rPr>
        <w:lastRenderedPageBreak/>
        <w:t>Guidance agreed by:</w:t>
      </w:r>
    </w:p>
    <w:p w14:paraId="1F58A0D9" w14:textId="71080C0D" w:rsidR="00CA0AD1" w:rsidRDefault="00CA0AD1">
      <w:pPr>
        <w:rPr>
          <w:noProof/>
        </w:rPr>
      </w:pPr>
      <w:r>
        <w:rPr>
          <w:noProof/>
        </w:rPr>
        <w:t>Allison Deagle, Digital Health</w:t>
      </w:r>
    </w:p>
    <w:p w14:paraId="4BBA8BA4" w14:textId="09B533AF" w:rsidR="00CA0AD1" w:rsidRDefault="00CA0AD1">
      <w:pPr>
        <w:rPr>
          <w:noProof/>
        </w:rPr>
      </w:pPr>
      <w:r>
        <w:rPr>
          <w:noProof/>
        </w:rPr>
        <w:t>Emma Butler, SystmOne Product Owner</w:t>
      </w:r>
    </w:p>
    <w:p w14:paraId="324168EA" w14:textId="0ADFC9F1" w:rsidR="00CA0AD1" w:rsidRDefault="00CA0AD1">
      <w:pPr>
        <w:rPr>
          <w:noProof/>
        </w:rPr>
      </w:pPr>
      <w:r>
        <w:rPr>
          <w:noProof/>
        </w:rPr>
        <w:t>Alex West, Clinical Pharmacist</w:t>
      </w:r>
    </w:p>
    <w:p w14:paraId="757EBE78" w14:textId="252D1360" w:rsidR="00CA0AD1" w:rsidRDefault="00CA0AD1">
      <w:pPr>
        <w:rPr>
          <w:noProof/>
        </w:rPr>
      </w:pPr>
      <w:r>
        <w:rPr>
          <w:noProof/>
        </w:rPr>
        <w:t>Raman Diddee, Clinical Safety Officer</w:t>
      </w:r>
    </w:p>
    <w:p w14:paraId="243F544A" w14:textId="77777777" w:rsidR="00601DEC" w:rsidRDefault="00601DEC">
      <w:pPr>
        <w:rPr>
          <w:noProof/>
        </w:rPr>
      </w:pPr>
    </w:p>
    <w:p w14:paraId="542F3049" w14:textId="42F20095" w:rsidR="00601DEC" w:rsidRDefault="00601DEC">
      <w:pPr>
        <w:rPr>
          <w:noProof/>
        </w:rPr>
      </w:pPr>
      <w:r>
        <w:rPr>
          <w:noProof/>
        </w:rPr>
        <w:t>Agreed: 1</w:t>
      </w:r>
      <w:r w:rsidR="00EC4D4A">
        <w:rPr>
          <w:noProof/>
        </w:rPr>
        <w:t>7</w:t>
      </w:r>
      <w:r w:rsidRPr="00601DEC">
        <w:rPr>
          <w:noProof/>
          <w:vertAlign w:val="superscript"/>
        </w:rPr>
        <w:t>th</w:t>
      </w:r>
      <w:r>
        <w:rPr>
          <w:noProof/>
        </w:rPr>
        <w:t xml:space="preserve"> September 2025</w:t>
      </w:r>
    </w:p>
    <w:p w14:paraId="2B8B405E" w14:textId="67171261" w:rsidR="00601DEC" w:rsidRDefault="00601DEC">
      <w:pPr>
        <w:rPr>
          <w:noProof/>
        </w:rPr>
      </w:pPr>
      <w:r>
        <w:rPr>
          <w:noProof/>
        </w:rPr>
        <w:t>Review due: 1</w:t>
      </w:r>
      <w:r w:rsidR="00EC4D4A">
        <w:rPr>
          <w:noProof/>
        </w:rPr>
        <w:t>7</w:t>
      </w:r>
      <w:r w:rsidRPr="00601DEC">
        <w:rPr>
          <w:noProof/>
          <w:vertAlign w:val="superscript"/>
        </w:rPr>
        <w:t>th</w:t>
      </w:r>
      <w:r>
        <w:rPr>
          <w:noProof/>
        </w:rPr>
        <w:t xml:space="preserve"> September 2027</w:t>
      </w:r>
    </w:p>
    <w:p w14:paraId="21FFF151" w14:textId="77777777" w:rsidR="00CA0AD1" w:rsidRDefault="00CA0AD1">
      <w:pPr>
        <w:rPr>
          <w:noProof/>
        </w:rPr>
      </w:pPr>
    </w:p>
    <w:p w14:paraId="1AEB4ECC" w14:textId="77777777" w:rsidR="00CA0AD1" w:rsidRDefault="00CA0AD1">
      <w:pPr>
        <w:rPr>
          <w:noProof/>
        </w:rPr>
      </w:pPr>
    </w:p>
    <w:p w14:paraId="74BD0C29" w14:textId="77777777" w:rsidR="00CA0AD1" w:rsidRDefault="00CA0AD1">
      <w:pPr>
        <w:rPr>
          <w:noProof/>
        </w:rPr>
      </w:pPr>
    </w:p>
    <w:p w14:paraId="7415CD1F" w14:textId="77777777" w:rsidR="00CA0AD1" w:rsidRDefault="00CA0AD1">
      <w:pPr>
        <w:rPr>
          <w:noProof/>
        </w:rPr>
      </w:pPr>
    </w:p>
    <w:p w14:paraId="4070E1E9" w14:textId="77777777" w:rsidR="00CA0AD1" w:rsidRDefault="00CA0AD1">
      <w:pPr>
        <w:rPr>
          <w:noProof/>
        </w:rPr>
      </w:pPr>
    </w:p>
    <w:p w14:paraId="5F7D6D28" w14:textId="77777777" w:rsidR="00CA0AD1" w:rsidRDefault="00CA0AD1">
      <w:pPr>
        <w:rPr>
          <w:noProof/>
        </w:rPr>
      </w:pPr>
    </w:p>
    <w:p w14:paraId="27BCC439" w14:textId="6EB8239F" w:rsidR="00C54A88" w:rsidRDefault="00C54A88"/>
    <w:sectPr w:rsidR="00C54A8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42F2" w14:textId="77777777" w:rsidR="00FC05C6" w:rsidRDefault="00FC05C6" w:rsidP="00C904D5">
      <w:pPr>
        <w:spacing w:after="0" w:line="240" w:lineRule="auto"/>
      </w:pPr>
      <w:r>
        <w:separator/>
      </w:r>
    </w:p>
  </w:endnote>
  <w:endnote w:type="continuationSeparator" w:id="0">
    <w:p w14:paraId="67867D41" w14:textId="77777777" w:rsidR="00FC05C6" w:rsidRDefault="00FC05C6" w:rsidP="00C9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1AB2" w14:textId="6AD9A11C" w:rsidR="004B7560" w:rsidRDefault="004B756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3A069201" wp14:editId="5726679D">
          <wp:simplePos x="0" y="0"/>
          <wp:positionH relativeFrom="page">
            <wp:posOffset>-47625</wp:posOffset>
          </wp:positionH>
          <wp:positionV relativeFrom="paragraph">
            <wp:posOffset>-314325</wp:posOffset>
          </wp:positionV>
          <wp:extent cx="8074800" cy="1072800"/>
          <wp:effectExtent l="0" t="0" r="2540" b="0"/>
          <wp:wrapNone/>
          <wp:docPr id="8" name="Picture 8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00B7" w14:textId="77777777" w:rsidR="00FC05C6" w:rsidRDefault="00FC05C6" w:rsidP="00C904D5">
      <w:pPr>
        <w:spacing w:after="0" w:line="240" w:lineRule="auto"/>
      </w:pPr>
      <w:r>
        <w:separator/>
      </w:r>
    </w:p>
  </w:footnote>
  <w:footnote w:type="continuationSeparator" w:id="0">
    <w:p w14:paraId="0C2678DB" w14:textId="77777777" w:rsidR="00FC05C6" w:rsidRDefault="00FC05C6" w:rsidP="00C9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A5D3" w14:textId="0CBCC3BA" w:rsidR="00C904D5" w:rsidRDefault="00AD794D">
    <w:pPr>
      <w:pStyle w:val="Header"/>
    </w:pPr>
    <w:r w:rsidRPr="00370A64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58241" behindDoc="1" locked="0" layoutInCell="1" allowOverlap="1" wp14:anchorId="40AD7D14" wp14:editId="4202B638">
          <wp:simplePos x="0" y="0"/>
          <wp:positionH relativeFrom="column">
            <wp:posOffset>3387665</wp:posOffset>
          </wp:positionH>
          <wp:positionV relativeFrom="paragraph">
            <wp:posOffset>-363855</wp:posOffset>
          </wp:positionV>
          <wp:extent cx="3153714" cy="704850"/>
          <wp:effectExtent l="0" t="0" r="8890" b="0"/>
          <wp:wrapNone/>
          <wp:docPr id="2" name="Picture 2" descr="A black screen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screen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74" cy="70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4D5" w:rsidRPr="00DD59E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A01C447" wp14:editId="5DCF4BC6">
          <wp:simplePos x="0" y="0"/>
          <wp:positionH relativeFrom="column">
            <wp:posOffset>-762000</wp:posOffset>
          </wp:positionH>
          <wp:positionV relativeFrom="paragraph">
            <wp:posOffset>-362585</wp:posOffset>
          </wp:positionV>
          <wp:extent cx="1314450" cy="789305"/>
          <wp:effectExtent l="0" t="0" r="0" b="0"/>
          <wp:wrapSquare wrapText="bothSides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35C"/>
    <w:multiLevelType w:val="multilevel"/>
    <w:tmpl w:val="E9B4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343C32"/>
    <w:multiLevelType w:val="multilevel"/>
    <w:tmpl w:val="108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E78FF"/>
    <w:multiLevelType w:val="hybridMultilevel"/>
    <w:tmpl w:val="64FEC7F8"/>
    <w:lvl w:ilvl="0" w:tplc="DA86E9A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631A"/>
    <w:multiLevelType w:val="hybridMultilevel"/>
    <w:tmpl w:val="3462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3D97"/>
    <w:multiLevelType w:val="hybridMultilevel"/>
    <w:tmpl w:val="81B2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44D8"/>
    <w:multiLevelType w:val="multilevel"/>
    <w:tmpl w:val="95F6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BB4E85"/>
    <w:multiLevelType w:val="multilevel"/>
    <w:tmpl w:val="F54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84297"/>
    <w:multiLevelType w:val="multilevel"/>
    <w:tmpl w:val="9E0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655E3"/>
    <w:multiLevelType w:val="hybridMultilevel"/>
    <w:tmpl w:val="80FA8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56800"/>
    <w:multiLevelType w:val="hybridMultilevel"/>
    <w:tmpl w:val="FC0CE7C6"/>
    <w:lvl w:ilvl="0" w:tplc="DA86E9A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42823"/>
    <w:multiLevelType w:val="multilevel"/>
    <w:tmpl w:val="1F3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55669E"/>
    <w:multiLevelType w:val="multilevel"/>
    <w:tmpl w:val="24F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2C5BA9"/>
    <w:multiLevelType w:val="multilevel"/>
    <w:tmpl w:val="52C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39488">
    <w:abstractNumId w:val="6"/>
  </w:num>
  <w:num w:numId="2" w16cid:durableId="1668508968">
    <w:abstractNumId w:val="0"/>
  </w:num>
  <w:num w:numId="3" w16cid:durableId="48500703">
    <w:abstractNumId w:val="5"/>
  </w:num>
  <w:num w:numId="4" w16cid:durableId="1387797068">
    <w:abstractNumId w:val="1"/>
  </w:num>
  <w:num w:numId="5" w16cid:durableId="1096173920">
    <w:abstractNumId w:val="10"/>
  </w:num>
  <w:num w:numId="6" w16cid:durableId="221064479">
    <w:abstractNumId w:val="12"/>
  </w:num>
  <w:num w:numId="7" w16cid:durableId="764693371">
    <w:abstractNumId w:val="7"/>
  </w:num>
  <w:num w:numId="8" w16cid:durableId="465129842">
    <w:abstractNumId w:val="11"/>
  </w:num>
  <w:num w:numId="9" w16cid:durableId="566453976">
    <w:abstractNumId w:val="3"/>
  </w:num>
  <w:num w:numId="10" w16cid:durableId="908151771">
    <w:abstractNumId w:val="8"/>
  </w:num>
  <w:num w:numId="11" w16cid:durableId="1628848844">
    <w:abstractNumId w:val="4"/>
  </w:num>
  <w:num w:numId="12" w16cid:durableId="516233059">
    <w:abstractNumId w:val="9"/>
  </w:num>
  <w:num w:numId="13" w16cid:durableId="204597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63"/>
    <w:rsid w:val="000123E8"/>
    <w:rsid w:val="0002074C"/>
    <w:rsid w:val="0003442C"/>
    <w:rsid w:val="00034F43"/>
    <w:rsid w:val="00040658"/>
    <w:rsid w:val="00070C19"/>
    <w:rsid w:val="000932D3"/>
    <w:rsid w:val="000A01D6"/>
    <w:rsid w:val="000A0CD4"/>
    <w:rsid w:val="000D3F37"/>
    <w:rsid w:val="000D775A"/>
    <w:rsid w:val="000E3D86"/>
    <w:rsid w:val="000E587B"/>
    <w:rsid w:val="00100E07"/>
    <w:rsid w:val="001100B7"/>
    <w:rsid w:val="00125FE4"/>
    <w:rsid w:val="001315BD"/>
    <w:rsid w:val="00160C1C"/>
    <w:rsid w:val="00165F73"/>
    <w:rsid w:val="00167E97"/>
    <w:rsid w:val="0017516A"/>
    <w:rsid w:val="001A0A67"/>
    <w:rsid w:val="001A2D0B"/>
    <w:rsid w:val="001C1D10"/>
    <w:rsid w:val="001E1409"/>
    <w:rsid w:val="001E7077"/>
    <w:rsid w:val="00200151"/>
    <w:rsid w:val="00216931"/>
    <w:rsid w:val="002474F2"/>
    <w:rsid w:val="00257955"/>
    <w:rsid w:val="0027724A"/>
    <w:rsid w:val="00296E96"/>
    <w:rsid w:val="002A5E61"/>
    <w:rsid w:val="002B0D09"/>
    <w:rsid w:val="002C095A"/>
    <w:rsid w:val="002F2599"/>
    <w:rsid w:val="002F3BB8"/>
    <w:rsid w:val="00310752"/>
    <w:rsid w:val="00311A92"/>
    <w:rsid w:val="003204E7"/>
    <w:rsid w:val="00352313"/>
    <w:rsid w:val="00356E46"/>
    <w:rsid w:val="003572E3"/>
    <w:rsid w:val="00362DAD"/>
    <w:rsid w:val="00366200"/>
    <w:rsid w:val="00376927"/>
    <w:rsid w:val="003B2622"/>
    <w:rsid w:val="003C32F3"/>
    <w:rsid w:val="003D3DAA"/>
    <w:rsid w:val="003F7222"/>
    <w:rsid w:val="00403F7D"/>
    <w:rsid w:val="00412038"/>
    <w:rsid w:val="00450C0B"/>
    <w:rsid w:val="00453BCF"/>
    <w:rsid w:val="004A3433"/>
    <w:rsid w:val="004B7560"/>
    <w:rsid w:val="004D5722"/>
    <w:rsid w:val="004D6FC4"/>
    <w:rsid w:val="00500F6B"/>
    <w:rsid w:val="00511511"/>
    <w:rsid w:val="0052070F"/>
    <w:rsid w:val="00544D00"/>
    <w:rsid w:val="00556B63"/>
    <w:rsid w:val="00575586"/>
    <w:rsid w:val="00582705"/>
    <w:rsid w:val="00583627"/>
    <w:rsid w:val="005913C6"/>
    <w:rsid w:val="005A0429"/>
    <w:rsid w:val="00601DEC"/>
    <w:rsid w:val="006357DB"/>
    <w:rsid w:val="006602E5"/>
    <w:rsid w:val="006746B2"/>
    <w:rsid w:val="00685A86"/>
    <w:rsid w:val="006875F1"/>
    <w:rsid w:val="0069229B"/>
    <w:rsid w:val="006A11AF"/>
    <w:rsid w:val="006D5583"/>
    <w:rsid w:val="006D74DF"/>
    <w:rsid w:val="006E212E"/>
    <w:rsid w:val="006E6C93"/>
    <w:rsid w:val="0070260A"/>
    <w:rsid w:val="00707055"/>
    <w:rsid w:val="00707092"/>
    <w:rsid w:val="007319B5"/>
    <w:rsid w:val="007466C3"/>
    <w:rsid w:val="00747A26"/>
    <w:rsid w:val="007A02ED"/>
    <w:rsid w:val="007A5F5B"/>
    <w:rsid w:val="007A6C12"/>
    <w:rsid w:val="007B4E2E"/>
    <w:rsid w:val="007D52A5"/>
    <w:rsid w:val="00817A2B"/>
    <w:rsid w:val="00826D99"/>
    <w:rsid w:val="00851B9F"/>
    <w:rsid w:val="008560CC"/>
    <w:rsid w:val="00872240"/>
    <w:rsid w:val="00874521"/>
    <w:rsid w:val="00874C1D"/>
    <w:rsid w:val="008B6733"/>
    <w:rsid w:val="008D2C76"/>
    <w:rsid w:val="008E5009"/>
    <w:rsid w:val="008E5CFE"/>
    <w:rsid w:val="008F4D24"/>
    <w:rsid w:val="00901ECC"/>
    <w:rsid w:val="00921D5E"/>
    <w:rsid w:val="009265EC"/>
    <w:rsid w:val="00943495"/>
    <w:rsid w:val="009505D3"/>
    <w:rsid w:val="00960D6B"/>
    <w:rsid w:val="00991EE8"/>
    <w:rsid w:val="009B16D1"/>
    <w:rsid w:val="009D251D"/>
    <w:rsid w:val="009E07D8"/>
    <w:rsid w:val="00A17FFB"/>
    <w:rsid w:val="00A3505B"/>
    <w:rsid w:val="00A37F0B"/>
    <w:rsid w:val="00A67C16"/>
    <w:rsid w:val="00A84645"/>
    <w:rsid w:val="00AA2CD1"/>
    <w:rsid w:val="00AA77BE"/>
    <w:rsid w:val="00AB1E5A"/>
    <w:rsid w:val="00AB358B"/>
    <w:rsid w:val="00AC7F7E"/>
    <w:rsid w:val="00AD193F"/>
    <w:rsid w:val="00AD794D"/>
    <w:rsid w:val="00AE48FC"/>
    <w:rsid w:val="00B50179"/>
    <w:rsid w:val="00B611BE"/>
    <w:rsid w:val="00B646DA"/>
    <w:rsid w:val="00B81907"/>
    <w:rsid w:val="00B86A6D"/>
    <w:rsid w:val="00B8775B"/>
    <w:rsid w:val="00BA4549"/>
    <w:rsid w:val="00BC02B8"/>
    <w:rsid w:val="00BC3104"/>
    <w:rsid w:val="00BF6A8A"/>
    <w:rsid w:val="00C00336"/>
    <w:rsid w:val="00C04D37"/>
    <w:rsid w:val="00C359B0"/>
    <w:rsid w:val="00C405C8"/>
    <w:rsid w:val="00C5258C"/>
    <w:rsid w:val="00C54A88"/>
    <w:rsid w:val="00C55F27"/>
    <w:rsid w:val="00C72189"/>
    <w:rsid w:val="00C76B51"/>
    <w:rsid w:val="00C85C93"/>
    <w:rsid w:val="00C904D5"/>
    <w:rsid w:val="00C936CB"/>
    <w:rsid w:val="00CA0AD1"/>
    <w:rsid w:val="00CD2E09"/>
    <w:rsid w:val="00D03DB1"/>
    <w:rsid w:val="00D44BA3"/>
    <w:rsid w:val="00D4624E"/>
    <w:rsid w:val="00D74E6B"/>
    <w:rsid w:val="00D75BFD"/>
    <w:rsid w:val="00D82E1E"/>
    <w:rsid w:val="00D84FB2"/>
    <w:rsid w:val="00D87A3D"/>
    <w:rsid w:val="00DA1517"/>
    <w:rsid w:val="00DD560A"/>
    <w:rsid w:val="00DE0A6F"/>
    <w:rsid w:val="00DF59EF"/>
    <w:rsid w:val="00E12801"/>
    <w:rsid w:val="00E15E3E"/>
    <w:rsid w:val="00E313C4"/>
    <w:rsid w:val="00E31E04"/>
    <w:rsid w:val="00E31EF7"/>
    <w:rsid w:val="00E35DB3"/>
    <w:rsid w:val="00E4356B"/>
    <w:rsid w:val="00E46BF4"/>
    <w:rsid w:val="00E53046"/>
    <w:rsid w:val="00E53AC7"/>
    <w:rsid w:val="00E825D9"/>
    <w:rsid w:val="00E87B01"/>
    <w:rsid w:val="00EA35F6"/>
    <w:rsid w:val="00EB20AF"/>
    <w:rsid w:val="00EB381D"/>
    <w:rsid w:val="00EB44DA"/>
    <w:rsid w:val="00EB45DE"/>
    <w:rsid w:val="00EC0548"/>
    <w:rsid w:val="00EC4D4A"/>
    <w:rsid w:val="00EC7423"/>
    <w:rsid w:val="00ED2A9F"/>
    <w:rsid w:val="00ED5DF0"/>
    <w:rsid w:val="00EF44EA"/>
    <w:rsid w:val="00F027F3"/>
    <w:rsid w:val="00F616CA"/>
    <w:rsid w:val="00F74480"/>
    <w:rsid w:val="00F74AF6"/>
    <w:rsid w:val="00F94B4E"/>
    <w:rsid w:val="00FA249F"/>
    <w:rsid w:val="00FB47A0"/>
    <w:rsid w:val="00FB6A5C"/>
    <w:rsid w:val="00FC05C6"/>
    <w:rsid w:val="00FC5301"/>
    <w:rsid w:val="00FE16DE"/>
    <w:rsid w:val="00FF33B6"/>
    <w:rsid w:val="04B9CD6C"/>
    <w:rsid w:val="04DD80C3"/>
    <w:rsid w:val="05A1587F"/>
    <w:rsid w:val="06CC82BF"/>
    <w:rsid w:val="085813C7"/>
    <w:rsid w:val="08E1FAB0"/>
    <w:rsid w:val="097753EE"/>
    <w:rsid w:val="09EBA038"/>
    <w:rsid w:val="0B4FBE6F"/>
    <w:rsid w:val="0D740377"/>
    <w:rsid w:val="1159CA36"/>
    <w:rsid w:val="12625266"/>
    <w:rsid w:val="15529A11"/>
    <w:rsid w:val="1CC9CAA5"/>
    <w:rsid w:val="1CDDF82E"/>
    <w:rsid w:val="1D0416EE"/>
    <w:rsid w:val="1D6B8C5C"/>
    <w:rsid w:val="1D779675"/>
    <w:rsid w:val="1DD9738D"/>
    <w:rsid w:val="1E35B153"/>
    <w:rsid w:val="1EA6770D"/>
    <w:rsid w:val="1F370250"/>
    <w:rsid w:val="21802C1E"/>
    <w:rsid w:val="21BE028C"/>
    <w:rsid w:val="23647A00"/>
    <w:rsid w:val="24055E72"/>
    <w:rsid w:val="2470F592"/>
    <w:rsid w:val="24D93F07"/>
    <w:rsid w:val="26056AA5"/>
    <w:rsid w:val="26728118"/>
    <w:rsid w:val="2750684E"/>
    <w:rsid w:val="27A6F830"/>
    <w:rsid w:val="295BEB0F"/>
    <w:rsid w:val="2B78D1A9"/>
    <w:rsid w:val="2BB0E1A6"/>
    <w:rsid w:val="2D6D761E"/>
    <w:rsid w:val="2DD85FAD"/>
    <w:rsid w:val="30C59852"/>
    <w:rsid w:val="3209C426"/>
    <w:rsid w:val="326E3758"/>
    <w:rsid w:val="327A95B0"/>
    <w:rsid w:val="37E321E1"/>
    <w:rsid w:val="3A115E93"/>
    <w:rsid w:val="3A16B7D0"/>
    <w:rsid w:val="3AFF4170"/>
    <w:rsid w:val="3B1A88EE"/>
    <w:rsid w:val="3F6B8222"/>
    <w:rsid w:val="40970060"/>
    <w:rsid w:val="4404FB97"/>
    <w:rsid w:val="452BC164"/>
    <w:rsid w:val="48AD0BF1"/>
    <w:rsid w:val="48F33103"/>
    <w:rsid w:val="4B70117F"/>
    <w:rsid w:val="4D498228"/>
    <w:rsid w:val="4DFD549D"/>
    <w:rsid w:val="4E174469"/>
    <w:rsid w:val="4E37869F"/>
    <w:rsid w:val="4E470A96"/>
    <w:rsid w:val="515E06E2"/>
    <w:rsid w:val="525693D0"/>
    <w:rsid w:val="532AA57C"/>
    <w:rsid w:val="5429DC98"/>
    <w:rsid w:val="54F70A2F"/>
    <w:rsid w:val="5536FDC0"/>
    <w:rsid w:val="575DA179"/>
    <w:rsid w:val="576B0280"/>
    <w:rsid w:val="5C764133"/>
    <w:rsid w:val="5EC06924"/>
    <w:rsid w:val="5EE44EE1"/>
    <w:rsid w:val="5F5AC68A"/>
    <w:rsid w:val="5F5EF0AB"/>
    <w:rsid w:val="5FFA6647"/>
    <w:rsid w:val="61F3AA84"/>
    <w:rsid w:val="635C1804"/>
    <w:rsid w:val="63660D0B"/>
    <w:rsid w:val="65E5D5D1"/>
    <w:rsid w:val="661293FC"/>
    <w:rsid w:val="662FBECB"/>
    <w:rsid w:val="67A8311B"/>
    <w:rsid w:val="6931780D"/>
    <w:rsid w:val="6A0C5579"/>
    <w:rsid w:val="6E7CF3E3"/>
    <w:rsid w:val="6E92E296"/>
    <w:rsid w:val="7108C067"/>
    <w:rsid w:val="71561DA7"/>
    <w:rsid w:val="74E9BEFF"/>
    <w:rsid w:val="767937E0"/>
    <w:rsid w:val="7D4A22C9"/>
    <w:rsid w:val="7D67831D"/>
    <w:rsid w:val="7E6527F0"/>
    <w:rsid w:val="7EC0F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F25C"/>
  <w15:chartTrackingRefBased/>
  <w15:docId w15:val="{343F6AEF-3478-48DA-B277-CFFE7E45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6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0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D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3C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313C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4D5"/>
  </w:style>
  <w:style w:type="paragraph" w:styleId="Footer">
    <w:name w:val="footer"/>
    <w:basedOn w:val="Normal"/>
    <w:link w:val="FooterChar"/>
    <w:uiPriority w:val="99"/>
    <w:unhideWhenUsed/>
    <w:rsid w:val="00C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MULHOLLAND, Victoria (THE NEWCASTLE UPON TYNE HOSPITALS NHS FOUNDATION TRUST)</dc:creator>
  <cp:keywords/>
  <dc:description/>
  <cp:lastModifiedBy>MULHOLLAND, Victoria (THE NEWCASTLE UPON TYNE HOSPITALS NHS FOUNDATION TRUST)</cp:lastModifiedBy>
  <cp:revision>152</cp:revision>
  <dcterms:created xsi:type="dcterms:W3CDTF">2025-07-14T06:48:00Z</dcterms:created>
  <dcterms:modified xsi:type="dcterms:W3CDTF">2025-09-22T07:19:00Z</dcterms:modified>
</cp:coreProperties>
</file>